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г.Актау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proofErr w:type="gramStart"/>
      <w:r w:rsidRPr="00C63C4C">
        <w:rPr>
          <w:spacing w:val="2"/>
          <w:sz w:val="22"/>
          <w:szCs w:val="22"/>
        </w:rPr>
        <w:t xml:space="preserve">   </w:t>
      </w:r>
      <w:r w:rsidR="00DF19EC" w:rsidRPr="00C63C4C">
        <w:rPr>
          <w:spacing w:val="2"/>
          <w:sz w:val="22"/>
          <w:szCs w:val="22"/>
        </w:rPr>
        <w:t>«</w:t>
      </w:r>
      <w:proofErr w:type="gramEnd"/>
      <w:r w:rsidR="00DF19EC" w:rsidRPr="00C63C4C">
        <w:rPr>
          <w:spacing w:val="2"/>
          <w:sz w:val="22"/>
          <w:szCs w:val="22"/>
        </w:rPr>
        <w:t xml:space="preserve">___» __________ </w:t>
      </w:r>
      <w:r w:rsidR="003B1283">
        <w:rPr>
          <w:spacing w:val="2"/>
          <w:sz w:val="22"/>
          <w:szCs w:val="22"/>
        </w:rPr>
        <w:t>202</w:t>
      </w:r>
      <w:r w:rsidR="00EA05D6">
        <w:rPr>
          <w:spacing w:val="2"/>
          <w:sz w:val="22"/>
          <w:szCs w:val="22"/>
          <w:lang w:val="kk-KZ"/>
        </w:rPr>
        <w:t>4</w:t>
      </w:r>
      <w:bookmarkStart w:id="0" w:name="_GoBack"/>
      <w:bookmarkEnd w:id="0"/>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3D14C8">
        <w:t xml:space="preserve">шем - «Заказчик», в </w:t>
      </w:r>
      <w:proofErr w:type="gramStart"/>
      <w:r w:rsidR="003D14C8">
        <w:t xml:space="preserve">лице </w:t>
      </w:r>
      <w:r w:rsidR="001A0C42" w:rsidRPr="001A0C42">
        <w:t xml:space="preserve"> </w:t>
      </w:r>
      <w:r w:rsidR="00C63C4C">
        <w:t>_</w:t>
      </w:r>
      <w:proofErr w:type="gramEnd"/>
      <w:r w:rsidR="00C63C4C">
        <w:t xml:space="preserve">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0C7B6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w:t>
      </w:r>
      <w:r w:rsidR="000C7B60">
        <w:rPr>
          <w:rFonts w:ascii="Times New Roman" w:hAnsi="Times New Roman"/>
          <w:color w:val="000000"/>
        </w:rPr>
        <w:t>149</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A"/>
    <w:rsid w:val="000A147B"/>
    <w:rsid w:val="000C7B60"/>
    <w:rsid w:val="00136E2F"/>
    <w:rsid w:val="00150300"/>
    <w:rsid w:val="001A0C42"/>
    <w:rsid w:val="003B1283"/>
    <w:rsid w:val="003B6CD4"/>
    <w:rsid w:val="003D14C8"/>
    <w:rsid w:val="004222AE"/>
    <w:rsid w:val="004614C5"/>
    <w:rsid w:val="00490E84"/>
    <w:rsid w:val="004A7AA3"/>
    <w:rsid w:val="0054157E"/>
    <w:rsid w:val="0069465B"/>
    <w:rsid w:val="006F23B7"/>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400E9"/>
    <w:rsid w:val="00EA05D6"/>
    <w:rsid w:val="00ED41E4"/>
    <w:rsid w:val="00FB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6EFC95"/>
  <w15:docId w15:val="{2B62F396-77BA-4D76-9785-BC7FF7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Cassian Comp</cp:lastModifiedBy>
  <cp:revision>3</cp:revision>
  <dcterms:created xsi:type="dcterms:W3CDTF">2024-09-17T03:25:00Z</dcterms:created>
  <dcterms:modified xsi:type="dcterms:W3CDTF">2024-09-17T03:26:00Z</dcterms:modified>
</cp:coreProperties>
</file>